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7BA8" w14:textId="77777777" w:rsidR="00F9180A" w:rsidRPr="00F9180A" w:rsidRDefault="00F9180A" w:rsidP="00F9180A">
      <w:pPr>
        <w:jc w:val="center"/>
        <w:rPr>
          <w:rFonts w:ascii="Arial" w:hAnsi="Arial" w:cs="Arial"/>
          <w:lang w:val="en-US"/>
        </w:rPr>
      </w:pPr>
      <w:bookmarkStart w:id="0" w:name="_GoBack"/>
      <w:bookmarkEnd w:id="0"/>
      <w:r w:rsidRPr="00F9180A">
        <w:rPr>
          <w:rFonts w:ascii="Arial" w:hAnsi="Arial" w:cs="Arial"/>
          <w:b/>
          <w:lang w:val="en-US"/>
        </w:rPr>
        <w:t>Transport in Low-Dimensional Systems from Theory and Experiment: Two-Probe Scanning Spectroscopy on Ge(001)-c(4x2) and Graphene Nanoribbons</w:t>
      </w:r>
      <w:r w:rsidRPr="00F9180A">
        <w:rPr>
          <w:rFonts w:ascii="Arial" w:hAnsi="Arial" w:cs="Arial"/>
          <w:b/>
          <w:lang w:val="en-US"/>
        </w:rPr>
        <w:cr/>
      </w:r>
    </w:p>
    <w:p w14:paraId="31D0C9E1" w14:textId="77777777" w:rsidR="00F9180A" w:rsidRPr="00F9180A" w:rsidRDefault="00F9180A" w:rsidP="00F9180A">
      <w:pPr>
        <w:jc w:val="center"/>
        <w:rPr>
          <w:rFonts w:ascii="Arial" w:hAnsi="Arial" w:cs="Arial"/>
          <w:lang w:val="en-US"/>
        </w:rPr>
      </w:pPr>
      <w:r w:rsidRPr="00F9180A">
        <w:rPr>
          <w:rFonts w:ascii="Arial" w:hAnsi="Arial" w:cs="Arial"/>
          <w:b/>
          <w:lang w:val="en-US"/>
        </w:rPr>
        <w:t>Daniel Sánchez-Portal</w:t>
      </w:r>
    </w:p>
    <w:p w14:paraId="31DD7B28" w14:textId="77777777" w:rsidR="00F9180A" w:rsidRPr="00F9180A" w:rsidRDefault="00F9180A" w:rsidP="00F9180A">
      <w:pPr>
        <w:jc w:val="center"/>
        <w:rPr>
          <w:rFonts w:ascii="Arial" w:hAnsi="Arial" w:cs="Arial"/>
          <w:lang w:val="en-US"/>
        </w:rPr>
      </w:pPr>
      <w:r w:rsidRPr="00F9180A">
        <w:rPr>
          <w:rFonts w:ascii="Arial" w:hAnsi="Arial" w:cs="Arial"/>
          <w:lang w:val="en-US"/>
        </w:rPr>
        <w:t>Centro de Física de Materiales CSIC-UPV/EHU and DIPC, Paseo Manuel de Lardizabal 5, 20018 San Sebastián, Spain</w:t>
      </w:r>
    </w:p>
    <w:p w14:paraId="18CA6CC6" w14:textId="77777777" w:rsidR="00F9180A" w:rsidRPr="00F9180A" w:rsidRDefault="00F9180A" w:rsidP="00F9180A">
      <w:pPr>
        <w:jc w:val="center"/>
        <w:rPr>
          <w:rFonts w:ascii="Arial" w:hAnsi="Arial" w:cs="Arial"/>
          <w:lang w:val="en-US"/>
        </w:rPr>
      </w:pPr>
      <w:r w:rsidRPr="00F9180A">
        <w:rPr>
          <w:rFonts w:ascii="Arial" w:hAnsi="Arial" w:cs="Arial"/>
        </w:rPr>
        <w:t>daniel.sanchez@ehu.eus</w:t>
      </w:r>
    </w:p>
    <w:p w14:paraId="28BBA719" w14:textId="77777777" w:rsidR="00F9180A" w:rsidRPr="00F9180A" w:rsidRDefault="00F9180A" w:rsidP="00F9180A">
      <w:pPr>
        <w:jc w:val="both"/>
        <w:rPr>
          <w:rFonts w:ascii="Arial" w:hAnsi="Arial" w:cs="Arial"/>
        </w:rPr>
      </w:pPr>
    </w:p>
    <w:p w14:paraId="42062247" w14:textId="77777777" w:rsidR="00F9180A" w:rsidRPr="00F9180A" w:rsidRDefault="00F9180A" w:rsidP="00F9180A">
      <w:pPr>
        <w:jc w:val="both"/>
        <w:rPr>
          <w:rFonts w:ascii="Arial" w:hAnsi="Arial" w:cs="Arial"/>
          <w:lang w:val="en-US"/>
        </w:rPr>
      </w:pPr>
      <w:r w:rsidRPr="00F9180A">
        <w:rPr>
          <w:rFonts w:ascii="Arial" w:hAnsi="Arial" w:cs="Arial"/>
          <w:lang w:val="en-US"/>
        </w:rPr>
        <w:t xml:space="preserve">With the miniaturization of electronic circuits into the single-atom level, methods based on scanning probe microscopy are becoming instrumental to characterize electron transport properties of relevant devices. Here I will present two joint theoretical and experimental studies of electronic transport in low-dimensional systems. </w:t>
      </w:r>
    </w:p>
    <w:p w14:paraId="005DE07A" w14:textId="77777777" w:rsidR="00F9180A" w:rsidRPr="00F9180A" w:rsidRDefault="00F9180A" w:rsidP="00F9180A">
      <w:pPr>
        <w:jc w:val="both"/>
        <w:rPr>
          <w:rFonts w:ascii="Arial" w:hAnsi="Arial" w:cs="Arial"/>
          <w:lang w:val="en-US"/>
        </w:rPr>
      </w:pPr>
      <w:r w:rsidRPr="00F9180A">
        <w:rPr>
          <w:rFonts w:ascii="Arial" w:hAnsi="Arial" w:cs="Arial"/>
          <w:lang w:val="en-US"/>
        </w:rPr>
        <w:t xml:space="preserve">Firstly, I will focus on the electronic transport along the anisotropic Ge(001)-c(4x2) surface with the use of two-probe scanning tunneling spectroscopy (2P-STS) and first-principles transport calculations [1]. We have introduced a method for the determination of the transconductance in our two-probe experimental setup and demonstrated how it captures energy-resolved information about electronic transport through the unoccupied surface states. The sequential opening of two transport channels within the quasi-one-dimensional Ge dimer rows in the surface gives rise to two distinct resonances in the transconductance spectroscopic signal, consistent with phase-coherence lengths of up to 50 nm and anisotropic electron propagation. Theoretical results from ballistic transport simulations allow correlating the observed resonances with different features in the surface band structure (see Figure 1 below). </w:t>
      </w:r>
    </w:p>
    <w:p w14:paraId="2C796444" w14:textId="77777777" w:rsidR="00F9180A" w:rsidRPr="00F9180A" w:rsidRDefault="00F9180A" w:rsidP="00F9180A">
      <w:pPr>
        <w:jc w:val="both"/>
        <w:rPr>
          <w:rFonts w:ascii="Arial" w:hAnsi="Arial" w:cs="Arial"/>
          <w:lang w:val="en-US"/>
        </w:rPr>
      </w:pPr>
      <w:r w:rsidRPr="00F9180A">
        <w:rPr>
          <w:rFonts w:ascii="Arial" w:hAnsi="Arial" w:cs="Arial"/>
          <w:lang w:val="en-US"/>
        </w:rPr>
        <w:t>Secondly, I will present results for the electronic and transport properties of simple devices based on graphene nanoribbons (GNRs) [2] and 7-armchair-GNRs doped with boron [3,4], comparing our findings in the latter case with detailed STS experiments.</w:t>
      </w:r>
    </w:p>
    <w:p w14:paraId="4808442B" w14:textId="77777777" w:rsidR="00F9180A" w:rsidRPr="00F9180A" w:rsidRDefault="00F9180A" w:rsidP="00F9180A">
      <w:pPr>
        <w:jc w:val="both"/>
        <w:rPr>
          <w:rFonts w:ascii="Arial" w:hAnsi="Arial" w:cs="Arial"/>
          <w:lang w:val="en-US"/>
        </w:rPr>
      </w:pPr>
    </w:p>
    <w:p w14:paraId="002C0815" w14:textId="77777777" w:rsidR="00F9180A" w:rsidRPr="00F9180A" w:rsidRDefault="00F9180A" w:rsidP="00F9180A">
      <w:pPr>
        <w:jc w:val="both"/>
        <w:rPr>
          <w:rFonts w:ascii="Arial" w:hAnsi="Arial" w:cs="Arial"/>
          <w:b/>
          <w:lang w:val="en-US"/>
        </w:rPr>
      </w:pPr>
      <w:r w:rsidRPr="00F9180A">
        <w:rPr>
          <w:rFonts w:ascii="Arial" w:hAnsi="Arial" w:cs="Arial"/>
          <w:b/>
          <w:lang w:val="en-US"/>
        </w:rPr>
        <w:t>References</w:t>
      </w:r>
    </w:p>
    <w:p w14:paraId="343EB4AB" w14:textId="77777777" w:rsidR="00F9180A" w:rsidRPr="00F9180A" w:rsidRDefault="00F9180A" w:rsidP="00F9180A">
      <w:pPr>
        <w:numPr>
          <w:ilvl w:val="0"/>
          <w:numId w:val="1"/>
        </w:numPr>
        <w:rPr>
          <w:rFonts w:ascii="Arial" w:hAnsi="Arial" w:cs="Arial"/>
        </w:rPr>
      </w:pPr>
      <w:r w:rsidRPr="00F9180A">
        <w:rPr>
          <w:rFonts w:ascii="Arial" w:hAnsi="Arial" w:cs="Arial"/>
        </w:rPr>
        <w:t xml:space="preserve">M. Kolmer, </w:t>
      </w:r>
      <w:r w:rsidRPr="00F9180A">
        <w:rPr>
          <w:rFonts w:ascii="Arial" w:hAnsi="Arial" w:cs="Arial"/>
          <w:i/>
        </w:rPr>
        <w:t>et al.</w:t>
      </w:r>
      <w:r w:rsidRPr="00F9180A">
        <w:rPr>
          <w:rFonts w:ascii="Arial" w:hAnsi="Arial" w:cs="Arial"/>
        </w:rPr>
        <w:t xml:space="preserve"> </w:t>
      </w:r>
      <w:r w:rsidRPr="00F9180A">
        <w:rPr>
          <w:rFonts w:ascii="Arial" w:hAnsi="Arial" w:cs="Arial"/>
          <w:i/>
        </w:rPr>
        <w:t xml:space="preserve">, </w:t>
      </w:r>
      <w:r w:rsidRPr="00F9180A">
        <w:rPr>
          <w:rFonts w:ascii="Arial" w:hAnsi="Arial" w:cs="Arial"/>
        </w:rPr>
        <w:t xml:space="preserve">Nature Comm., 10 (2019) 1573 </w:t>
      </w:r>
    </w:p>
    <w:p w14:paraId="64A5CFF3" w14:textId="77777777" w:rsidR="00F9180A" w:rsidRPr="00F9180A" w:rsidRDefault="00F9180A" w:rsidP="00F9180A">
      <w:pPr>
        <w:numPr>
          <w:ilvl w:val="0"/>
          <w:numId w:val="1"/>
        </w:numPr>
        <w:rPr>
          <w:rFonts w:ascii="Arial" w:hAnsi="Arial" w:cs="Arial"/>
        </w:rPr>
      </w:pPr>
      <w:r w:rsidRPr="00F9180A">
        <w:rPr>
          <w:rFonts w:ascii="Arial" w:hAnsi="Arial" w:cs="Arial"/>
        </w:rPr>
        <w:t xml:space="preserve">P. Brandimarte, </w:t>
      </w:r>
      <w:r w:rsidRPr="00F9180A">
        <w:rPr>
          <w:rFonts w:ascii="Arial" w:hAnsi="Arial" w:cs="Arial"/>
          <w:i/>
        </w:rPr>
        <w:t>et al.,</w:t>
      </w:r>
      <w:r w:rsidRPr="00F9180A">
        <w:rPr>
          <w:rFonts w:ascii="Arial" w:hAnsi="Arial" w:cs="Arial"/>
        </w:rPr>
        <w:t xml:space="preserve"> J. Chem. Phys. 146 (2017) 092318 </w:t>
      </w:r>
    </w:p>
    <w:p w14:paraId="48277E9C" w14:textId="77777777" w:rsidR="00F9180A" w:rsidRPr="00F9180A" w:rsidRDefault="00F9180A" w:rsidP="00F9180A">
      <w:pPr>
        <w:numPr>
          <w:ilvl w:val="0"/>
          <w:numId w:val="1"/>
        </w:numPr>
        <w:rPr>
          <w:rFonts w:ascii="Arial" w:hAnsi="Arial" w:cs="Arial"/>
        </w:rPr>
      </w:pPr>
      <w:r w:rsidRPr="00F9180A">
        <w:rPr>
          <w:rFonts w:ascii="Arial" w:hAnsi="Arial" w:cs="Arial"/>
        </w:rPr>
        <w:t xml:space="preserve">E. Carbonell-Sanromá, </w:t>
      </w:r>
      <w:r w:rsidRPr="00F9180A">
        <w:rPr>
          <w:rFonts w:ascii="Arial" w:hAnsi="Arial" w:cs="Arial"/>
          <w:i/>
        </w:rPr>
        <w:t>et al.,</w:t>
      </w:r>
      <w:r w:rsidRPr="00F9180A">
        <w:rPr>
          <w:rFonts w:ascii="Arial" w:hAnsi="Arial" w:cs="Arial"/>
        </w:rPr>
        <w:t xml:space="preserve"> Nano Letters 17 (2017) 50</w:t>
      </w:r>
    </w:p>
    <w:p w14:paraId="2E30FEA4" w14:textId="77777777" w:rsidR="00F9180A" w:rsidRPr="00F9180A" w:rsidRDefault="00F9180A" w:rsidP="00F9180A">
      <w:pPr>
        <w:numPr>
          <w:ilvl w:val="0"/>
          <w:numId w:val="1"/>
        </w:numPr>
        <w:rPr>
          <w:rFonts w:ascii="Arial" w:hAnsi="Arial" w:cs="Arial"/>
        </w:rPr>
      </w:pPr>
      <w:r w:rsidRPr="00F9180A">
        <w:rPr>
          <w:rFonts w:ascii="Arial" w:hAnsi="Arial" w:cs="Arial"/>
        </w:rPr>
        <w:t xml:space="preserve">E. Carbonell-Sanromá, et al., </w:t>
      </w:r>
      <w:r w:rsidRPr="00F9180A">
        <w:rPr>
          <w:rFonts w:ascii="Arial" w:eastAsia="Times New Roman" w:hAnsi="Arial" w:cs="Arial"/>
          <w:lang w:val="es-ES_tradnl" w:eastAsia="es-ES"/>
        </w:rPr>
        <w:t>J. Phys. Chem. C 122(2018) 16092</w:t>
      </w:r>
    </w:p>
    <w:p w14:paraId="28A5967F" w14:textId="77777777" w:rsidR="006457E6" w:rsidRPr="00F9180A" w:rsidRDefault="00F9180A" w:rsidP="00F9180A">
      <w:pPr>
        <w:jc w:val="both"/>
        <w:rPr>
          <w:rFonts w:ascii="Arial" w:hAnsi="Arial" w:cs="Arial"/>
          <w:b/>
          <w:color w:val="EC8D07"/>
          <w:lang w:val="en-US"/>
        </w:rPr>
      </w:pPr>
      <w:r w:rsidRPr="00F9180A">
        <w:rPr>
          <w:rFonts w:ascii="Arial" w:hAnsi="Arial" w:cs="Arial"/>
          <w:noProof/>
          <w:lang w:eastAsia="es-ES"/>
        </w:rPr>
        <mc:AlternateContent>
          <mc:Choice Requires="wps">
            <w:drawing>
              <wp:anchor distT="0" distB="0" distL="114300" distR="114300" simplePos="0" relativeHeight="251659264" behindDoc="0" locked="0" layoutInCell="1" allowOverlap="1" wp14:anchorId="738B5376" wp14:editId="604BDCFB">
                <wp:simplePos x="0" y="0"/>
                <wp:positionH relativeFrom="column">
                  <wp:posOffset>0</wp:posOffset>
                </wp:positionH>
                <wp:positionV relativeFrom="paragraph">
                  <wp:posOffset>231775</wp:posOffset>
                </wp:positionV>
                <wp:extent cx="5600700" cy="3439160"/>
                <wp:effectExtent l="0" t="0" r="0" b="0"/>
                <wp:wrapTight wrapText="bothSides">
                  <wp:wrapPolygon edited="0">
                    <wp:start x="98" y="160"/>
                    <wp:lineTo x="98" y="21217"/>
                    <wp:lineTo x="21355" y="21217"/>
                    <wp:lineTo x="21355" y="160"/>
                    <wp:lineTo x="98" y="16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39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56680" w14:textId="75A154D4" w:rsidR="00F9180A" w:rsidRDefault="003405A0" w:rsidP="00F9180A">
                            <w:r>
                              <w:rPr>
                                <w:noProof/>
                              </w:rPr>
                              <w:drawing>
                                <wp:inline distT="0" distB="0" distL="0" distR="0" wp14:anchorId="6D9AA418" wp14:editId="36ABBDE9">
                                  <wp:extent cx="5286375" cy="2124075"/>
                                  <wp:effectExtent l="0" t="0" r="9525" b="9525"/>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124075"/>
                                          </a:xfrm>
                                          <a:prstGeom prst="rect">
                                            <a:avLst/>
                                          </a:prstGeom>
                                          <a:noFill/>
                                          <a:ln>
                                            <a:noFill/>
                                          </a:ln>
                                        </pic:spPr>
                                      </pic:pic>
                                    </a:graphicData>
                                  </a:graphic>
                                </wp:inline>
                              </w:drawing>
                            </w:r>
                          </w:p>
                          <w:p w14:paraId="2729F97E" w14:textId="17E852BA" w:rsidR="00F9180A" w:rsidRPr="00F9180A" w:rsidRDefault="00BD25E0" w:rsidP="00F9180A">
                            <w:pPr>
                              <w:pStyle w:val="a3"/>
                              <w:spacing w:before="0" w:beforeAutospacing="0" w:after="0" w:afterAutospacing="0"/>
                              <w:jc w:val="both"/>
                              <w:rPr>
                                <w:rFonts w:ascii="Arial" w:hAnsi="Arial" w:cs="Arial"/>
                                <w:sz w:val="20"/>
                                <w:szCs w:val="20"/>
                              </w:rPr>
                            </w:pPr>
                            <w:r>
                              <w:rPr>
                                <w:rFonts w:ascii="Arial" w:hAnsi="Arial" w:cs="Arial"/>
                                <w:b/>
                                <w:sz w:val="20"/>
                                <w:szCs w:val="20"/>
                                <w:lang w:val="en-US"/>
                              </w:rPr>
                              <w:t>Figure 1.</w:t>
                            </w:r>
                            <w:r w:rsidR="00F9180A" w:rsidRPr="00F9180A">
                              <w:rPr>
                                <w:rFonts w:ascii="Arial" w:hAnsi="Arial" w:cs="Arial"/>
                                <w:b/>
                                <w:color w:val="EC8D07"/>
                                <w:sz w:val="20"/>
                                <w:szCs w:val="20"/>
                                <w:lang w:val="en-US"/>
                              </w:rPr>
                              <w:t xml:space="preserve"> </w:t>
                            </w:r>
                            <w:r w:rsidR="00F9180A" w:rsidRPr="00F9180A">
                              <w:rPr>
                                <w:rFonts w:ascii="Arial" w:hAnsi="Arial" w:cs="Arial"/>
                                <w:b/>
                                <w:bCs/>
                                <w:iCs/>
                                <w:color w:val="000000"/>
                                <w:sz w:val="20"/>
                                <w:szCs w:val="20"/>
                              </w:rPr>
                              <w:t>(a</w:t>
                            </w:r>
                            <w:r w:rsidR="00F9180A" w:rsidRPr="00F9180A">
                              <w:rPr>
                                <w:rFonts w:ascii="Arial" w:hAnsi="Arial" w:cs="Arial"/>
                                <w:iCs/>
                                <w:color w:val="000000"/>
                                <w:sz w:val="20"/>
                                <w:szCs w:val="20"/>
                              </w:rPr>
                              <w:t>) Scheme of our 4-terminal computational setup. Computations were performed with the SIESTA/TranSIESTA package. (</w:t>
                            </w:r>
                            <w:r w:rsidR="00F9180A" w:rsidRPr="00F9180A">
                              <w:rPr>
                                <w:rFonts w:ascii="Arial" w:hAnsi="Arial" w:cs="Arial"/>
                                <w:b/>
                                <w:bCs/>
                                <w:iCs/>
                                <w:color w:val="000000"/>
                                <w:sz w:val="20"/>
                                <w:szCs w:val="20"/>
                              </w:rPr>
                              <w:t>b</w:t>
                            </w:r>
                            <w:r w:rsidR="00F9180A" w:rsidRPr="00F9180A">
                              <w:rPr>
                                <w:rFonts w:ascii="Arial" w:hAnsi="Arial" w:cs="Arial"/>
                                <w:iCs/>
                                <w:color w:val="000000"/>
                                <w:sz w:val="20"/>
                                <w:szCs w:val="20"/>
                              </w:rPr>
                              <w:t>) Comparison between the experimental dI</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/dV</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 xml:space="preserve"> spectrum and the calculated surface-to-tip transmission at zero bias for D=4.5 Å (single-tip setup). (</w:t>
                            </w:r>
                            <w:r w:rsidR="00F9180A" w:rsidRPr="00F9180A">
                              <w:rPr>
                                <w:rFonts w:ascii="Arial" w:hAnsi="Arial" w:cs="Arial"/>
                                <w:b/>
                                <w:bCs/>
                                <w:iCs/>
                                <w:color w:val="000000"/>
                                <w:sz w:val="20"/>
                                <w:szCs w:val="20"/>
                              </w:rPr>
                              <w:t>c</w:t>
                            </w:r>
                            <w:r w:rsidR="00F9180A" w:rsidRPr="00F9180A">
                              <w:rPr>
                                <w:rFonts w:ascii="Arial" w:hAnsi="Arial" w:cs="Arial"/>
                                <w:iCs/>
                                <w:color w:val="000000"/>
                                <w:sz w:val="20"/>
                                <w:szCs w:val="20"/>
                              </w:rPr>
                              <w:t>) Comparison between the experimental dI</w:t>
                            </w:r>
                            <w:r w:rsidR="00F9180A" w:rsidRPr="00F9180A">
                              <w:rPr>
                                <w:rFonts w:ascii="Arial" w:hAnsi="Arial" w:cs="Arial"/>
                                <w:iCs/>
                                <w:color w:val="000000"/>
                                <w:sz w:val="20"/>
                                <w:szCs w:val="20"/>
                                <w:vertAlign w:val="subscript"/>
                              </w:rPr>
                              <w:t>2</w:t>
                            </w:r>
                            <w:r w:rsidR="00F9180A" w:rsidRPr="00F9180A">
                              <w:rPr>
                                <w:rFonts w:ascii="Arial" w:hAnsi="Arial" w:cs="Arial"/>
                                <w:iCs/>
                                <w:color w:val="000000"/>
                                <w:sz w:val="20"/>
                                <w:szCs w:val="20"/>
                              </w:rPr>
                              <w:t>/dV</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 xml:space="preserve"> spectrum and the tip-to-tip transmission function calculated for D</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=D</w:t>
                            </w:r>
                            <w:r w:rsidR="00F9180A" w:rsidRPr="00F9180A">
                              <w:rPr>
                                <w:rFonts w:ascii="Arial" w:hAnsi="Arial" w:cs="Arial"/>
                                <w:iCs/>
                                <w:color w:val="000000"/>
                                <w:sz w:val="20"/>
                                <w:szCs w:val="20"/>
                                <w:vertAlign w:val="subscript"/>
                              </w:rPr>
                              <w:t>2</w:t>
                            </w:r>
                            <w:r w:rsidR="00F9180A" w:rsidRPr="00F9180A">
                              <w:rPr>
                                <w:rFonts w:ascii="Arial" w:hAnsi="Arial" w:cs="Arial"/>
                                <w:iCs/>
                                <w:color w:val="000000"/>
                                <w:sz w:val="20"/>
                                <w:szCs w:val="20"/>
                              </w:rPr>
                              <w:t xml:space="preserve">=3.5 Å with the setup represented in panel </w:t>
                            </w:r>
                            <w:r w:rsidR="00F9180A" w:rsidRPr="00F9180A">
                              <w:rPr>
                                <w:rFonts w:ascii="Arial" w:hAnsi="Arial" w:cs="Arial"/>
                                <w:b/>
                                <w:bCs/>
                                <w:iCs/>
                                <w:color w:val="000000"/>
                                <w:sz w:val="20"/>
                                <w:szCs w:val="20"/>
                              </w:rPr>
                              <w:t>a</w:t>
                            </w:r>
                            <w:r w:rsidR="00F9180A" w:rsidRPr="00F9180A">
                              <w:rPr>
                                <w:rFonts w:ascii="Arial" w:hAnsi="Arial" w:cs="Arial"/>
                                <w:iCs/>
                                <w:color w:val="000000"/>
                                <w:sz w:val="20"/>
                                <w:szCs w:val="20"/>
                              </w:rPr>
                              <w:t>. In all calculations the Ge slab valence band edge has been used as a common energy reference.</w:t>
                            </w:r>
                          </w:p>
                          <w:p w14:paraId="10552B13" w14:textId="77777777" w:rsidR="00F9180A" w:rsidRPr="00F9180A" w:rsidRDefault="00F9180A" w:rsidP="00F9180A">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5376" id="_x0000_t202" coordsize="21600,21600" o:spt="202" path="m,l,21600r21600,l21600,xe">
                <v:stroke joinstyle="miter"/>
                <v:path gradientshapeok="t" o:connecttype="rect"/>
              </v:shapetype>
              <v:shape id="Text Box 3" o:spid="_x0000_s1026" type="#_x0000_t202" style="position:absolute;left:0;text-align:left;margin-left:0;margin-top:18.25pt;width:441pt;height:2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" filled="f" stroked="f">
                <v:textbox inset=",7.2pt,,7.2pt">
                  <w:txbxContent>
                    <w:p w14:paraId="01B56680" w14:textId="75A154D4" w:rsidR="00F9180A" w:rsidRDefault="003405A0" w:rsidP="00F9180A">
                      <w:r>
                        <w:rPr>
                          <w:noProof/>
                        </w:rPr>
                        <w:drawing>
                          <wp:inline distT="0" distB="0" distL="0" distR="0" wp14:anchorId="6D9AA418" wp14:editId="36ABBDE9">
                            <wp:extent cx="5286375" cy="2124075"/>
                            <wp:effectExtent l="0" t="0" r="9525" b="9525"/>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124075"/>
                                    </a:xfrm>
                                    <a:prstGeom prst="rect">
                                      <a:avLst/>
                                    </a:prstGeom>
                                    <a:noFill/>
                                    <a:ln>
                                      <a:noFill/>
                                    </a:ln>
                                  </pic:spPr>
                                </pic:pic>
                              </a:graphicData>
                            </a:graphic>
                          </wp:inline>
                        </w:drawing>
                      </w:r>
                    </w:p>
                    <w:p w14:paraId="2729F97E" w14:textId="17E852BA" w:rsidR="00F9180A" w:rsidRPr="00F9180A" w:rsidRDefault="00BD25E0" w:rsidP="00F9180A">
                      <w:pPr>
                        <w:pStyle w:val="a3"/>
                        <w:spacing w:before="0" w:beforeAutospacing="0" w:after="0" w:afterAutospacing="0"/>
                        <w:jc w:val="both"/>
                        <w:rPr>
                          <w:rFonts w:ascii="Arial" w:hAnsi="Arial" w:cs="Arial"/>
                          <w:sz w:val="20"/>
                          <w:szCs w:val="20"/>
                        </w:rPr>
                      </w:pPr>
                      <w:r>
                        <w:rPr>
                          <w:rFonts w:ascii="Arial" w:hAnsi="Arial" w:cs="Arial"/>
                          <w:b/>
                          <w:sz w:val="20"/>
                          <w:szCs w:val="20"/>
                          <w:lang w:val="en-US"/>
                        </w:rPr>
                        <w:t>Figure 1.</w:t>
                      </w:r>
                      <w:r w:rsidR="00F9180A" w:rsidRPr="00F9180A">
                        <w:rPr>
                          <w:rFonts w:ascii="Arial" w:hAnsi="Arial" w:cs="Arial"/>
                          <w:b/>
                          <w:color w:val="EC8D07"/>
                          <w:sz w:val="20"/>
                          <w:szCs w:val="20"/>
                          <w:lang w:val="en-US"/>
                        </w:rPr>
                        <w:t xml:space="preserve"> </w:t>
                      </w:r>
                      <w:r w:rsidR="00F9180A" w:rsidRPr="00F9180A">
                        <w:rPr>
                          <w:rFonts w:ascii="Arial" w:hAnsi="Arial" w:cs="Arial"/>
                          <w:b/>
                          <w:bCs/>
                          <w:iCs/>
                          <w:color w:val="000000"/>
                          <w:sz w:val="20"/>
                          <w:szCs w:val="20"/>
                        </w:rPr>
                        <w:t>(a</w:t>
                      </w:r>
                      <w:r w:rsidR="00F9180A" w:rsidRPr="00F9180A">
                        <w:rPr>
                          <w:rFonts w:ascii="Arial" w:hAnsi="Arial" w:cs="Arial"/>
                          <w:iCs/>
                          <w:color w:val="000000"/>
                          <w:sz w:val="20"/>
                          <w:szCs w:val="20"/>
                        </w:rPr>
                        <w:t>) Scheme of our 4-terminal computational setup. Computations were performed with the SIESTA/TranSIESTA package. (</w:t>
                      </w:r>
                      <w:r w:rsidR="00F9180A" w:rsidRPr="00F9180A">
                        <w:rPr>
                          <w:rFonts w:ascii="Arial" w:hAnsi="Arial" w:cs="Arial"/>
                          <w:b/>
                          <w:bCs/>
                          <w:iCs/>
                          <w:color w:val="000000"/>
                          <w:sz w:val="20"/>
                          <w:szCs w:val="20"/>
                        </w:rPr>
                        <w:t>b</w:t>
                      </w:r>
                      <w:r w:rsidR="00F9180A" w:rsidRPr="00F9180A">
                        <w:rPr>
                          <w:rFonts w:ascii="Arial" w:hAnsi="Arial" w:cs="Arial"/>
                          <w:iCs/>
                          <w:color w:val="000000"/>
                          <w:sz w:val="20"/>
                          <w:szCs w:val="20"/>
                        </w:rPr>
                        <w:t>) Comparison between the experimental dI</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/dV</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 xml:space="preserve"> spectrum and the calculated surface-to-tip transmission at zero bias for D=4.5 Å (single-tip setup). (</w:t>
                      </w:r>
                      <w:r w:rsidR="00F9180A" w:rsidRPr="00F9180A">
                        <w:rPr>
                          <w:rFonts w:ascii="Arial" w:hAnsi="Arial" w:cs="Arial"/>
                          <w:b/>
                          <w:bCs/>
                          <w:iCs/>
                          <w:color w:val="000000"/>
                          <w:sz w:val="20"/>
                          <w:szCs w:val="20"/>
                        </w:rPr>
                        <w:t>c</w:t>
                      </w:r>
                      <w:r w:rsidR="00F9180A" w:rsidRPr="00F9180A">
                        <w:rPr>
                          <w:rFonts w:ascii="Arial" w:hAnsi="Arial" w:cs="Arial"/>
                          <w:iCs/>
                          <w:color w:val="000000"/>
                          <w:sz w:val="20"/>
                          <w:szCs w:val="20"/>
                        </w:rPr>
                        <w:t>) Comparison between the experimental dI</w:t>
                      </w:r>
                      <w:r w:rsidR="00F9180A" w:rsidRPr="00F9180A">
                        <w:rPr>
                          <w:rFonts w:ascii="Arial" w:hAnsi="Arial" w:cs="Arial"/>
                          <w:iCs/>
                          <w:color w:val="000000"/>
                          <w:sz w:val="20"/>
                          <w:szCs w:val="20"/>
                          <w:vertAlign w:val="subscript"/>
                        </w:rPr>
                        <w:t>2</w:t>
                      </w:r>
                      <w:r w:rsidR="00F9180A" w:rsidRPr="00F9180A">
                        <w:rPr>
                          <w:rFonts w:ascii="Arial" w:hAnsi="Arial" w:cs="Arial"/>
                          <w:iCs/>
                          <w:color w:val="000000"/>
                          <w:sz w:val="20"/>
                          <w:szCs w:val="20"/>
                        </w:rPr>
                        <w:t>/dV</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 xml:space="preserve"> spectrum and the tip-to-tip transmission function calculated for D</w:t>
                      </w:r>
                      <w:r w:rsidR="00F9180A" w:rsidRPr="00F9180A">
                        <w:rPr>
                          <w:rFonts w:ascii="Arial" w:hAnsi="Arial" w:cs="Arial"/>
                          <w:iCs/>
                          <w:color w:val="000000"/>
                          <w:sz w:val="20"/>
                          <w:szCs w:val="20"/>
                          <w:vertAlign w:val="subscript"/>
                        </w:rPr>
                        <w:t>1</w:t>
                      </w:r>
                      <w:r w:rsidR="00F9180A" w:rsidRPr="00F9180A">
                        <w:rPr>
                          <w:rFonts w:ascii="Arial" w:hAnsi="Arial" w:cs="Arial"/>
                          <w:iCs/>
                          <w:color w:val="000000"/>
                          <w:sz w:val="20"/>
                          <w:szCs w:val="20"/>
                        </w:rPr>
                        <w:t>=D</w:t>
                      </w:r>
                      <w:r w:rsidR="00F9180A" w:rsidRPr="00F9180A">
                        <w:rPr>
                          <w:rFonts w:ascii="Arial" w:hAnsi="Arial" w:cs="Arial"/>
                          <w:iCs/>
                          <w:color w:val="000000"/>
                          <w:sz w:val="20"/>
                          <w:szCs w:val="20"/>
                          <w:vertAlign w:val="subscript"/>
                        </w:rPr>
                        <w:t>2</w:t>
                      </w:r>
                      <w:r w:rsidR="00F9180A" w:rsidRPr="00F9180A">
                        <w:rPr>
                          <w:rFonts w:ascii="Arial" w:hAnsi="Arial" w:cs="Arial"/>
                          <w:iCs/>
                          <w:color w:val="000000"/>
                          <w:sz w:val="20"/>
                          <w:szCs w:val="20"/>
                        </w:rPr>
                        <w:t xml:space="preserve">=3.5 Å with the setup represented in panel </w:t>
                      </w:r>
                      <w:r w:rsidR="00F9180A" w:rsidRPr="00F9180A">
                        <w:rPr>
                          <w:rFonts w:ascii="Arial" w:hAnsi="Arial" w:cs="Arial"/>
                          <w:b/>
                          <w:bCs/>
                          <w:iCs/>
                          <w:color w:val="000000"/>
                          <w:sz w:val="20"/>
                          <w:szCs w:val="20"/>
                        </w:rPr>
                        <w:t>a</w:t>
                      </w:r>
                      <w:r w:rsidR="00F9180A" w:rsidRPr="00F9180A">
                        <w:rPr>
                          <w:rFonts w:ascii="Arial" w:hAnsi="Arial" w:cs="Arial"/>
                          <w:iCs/>
                          <w:color w:val="000000"/>
                          <w:sz w:val="20"/>
                          <w:szCs w:val="20"/>
                        </w:rPr>
                        <w:t>. In all calculations the Ge slab valence band edge has been used as a common energy reference.</w:t>
                      </w:r>
                    </w:p>
                    <w:p w14:paraId="10552B13" w14:textId="77777777" w:rsidR="00F9180A" w:rsidRPr="00F9180A" w:rsidRDefault="00F9180A" w:rsidP="00F9180A">
                      <w:pPr>
                        <w:rPr>
                          <w:rFonts w:ascii="Arial" w:hAnsi="Arial" w:cs="Arial"/>
                          <w:sz w:val="20"/>
                          <w:szCs w:val="20"/>
                        </w:rPr>
                      </w:pPr>
                    </w:p>
                  </w:txbxContent>
                </v:textbox>
                <w10:wrap type="tight"/>
              </v:shape>
            </w:pict>
          </mc:Fallback>
        </mc:AlternateContent>
      </w:r>
    </w:p>
    <w:sectPr w:rsidR="006457E6" w:rsidRPr="00F9180A" w:rsidSect="006457E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71234"/>
    <w:multiLevelType w:val="hybridMultilevel"/>
    <w:tmpl w:val="2BD4DBE0"/>
    <w:lvl w:ilvl="0" w:tplc="A7B454F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0A"/>
    <w:rsid w:val="003405A0"/>
    <w:rsid w:val="006457E6"/>
    <w:rsid w:val="007B2F5B"/>
    <w:rsid w:val="00BD25E0"/>
    <w:rsid w:val="00F91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6318E"/>
  <w14:defaultImageDpi w14:val="300"/>
  <w15:docId w15:val="{179B3B0A-F54E-44EA-AE13-B64D3AFB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80A"/>
    <w:rPr>
      <w:rFonts w:ascii="Calibri" w:eastAsia="Calibri" w:hAnsi="Calibri" w:cs="Times New Roman"/>
      <w:sz w:val="22"/>
      <w:szCs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80A"/>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Sanchez Portal</dc:creator>
  <cp:keywords/>
  <dc:description/>
  <cp:lastModifiedBy>이 준성</cp:lastModifiedBy>
  <cp:revision>2</cp:revision>
  <dcterms:created xsi:type="dcterms:W3CDTF">2019-08-19T06:13:00Z</dcterms:created>
  <dcterms:modified xsi:type="dcterms:W3CDTF">2019-08-19T06:13:00Z</dcterms:modified>
</cp:coreProperties>
</file>